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bidi w:val="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1. Introduction to the Course, The Basics of Biotech Manufacturing</w:t>
      </w:r>
      <w:r>
        <mc:AlternateContent>
          <mc:Choice Requires="wps">
            <w:drawing>
              <wp:anchor behindDoc="0" distT="0" distB="0" distL="0" distR="0" simplePos="0" locked="0" layoutInCell="0" allowOverlap="1" relativeHeight="2">
                <wp:simplePos x="0" y="0"/>
                <wp:positionH relativeFrom="column">
                  <wp:posOffset>106680</wp:posOffset>
                </wp:positionH>
                <wp:positionV relativeFrom="paragraph">
                  <wp:posOffset>106680</wp:posOffset>
                </wp:positionV>
                <wp:extent cx="213360" cy="213360"/>
                <wp:effectExtent l="0" t="0" r="0" b="0"/>
                <wp:wrapNone/>
                <wp:docPr id="1" name="Врезка1"/>
                <a:graphic xmlns:a="http://schemas.openxmlformats.org/drawingml/2006/main">
                  <a:graphicData uri="http://schemas.microsoft.com/office/word/2010/wordprocessingShape">
                    <wps:wsp>
                      <wps:cNvSpPr txBox="1"/>
                      <wps:spPr>
                        <a:xfrm>
                          <a:off x="0" y="0"/>
                          <a:ext cx="213360" cy="213360"/>
                        </a:xfrm>
                        <a:prstGeom prst="rect"/>
                        <a:solidFill>
                          <a:srgbClr val="FFFFFF"/>
                        </a:solidFill>
                        <a:solidFill>
                          <a:srgbClr val="FFFFFF">
                            <a:alpha val="0"/>
                          </a:srgbClr>
                        </a:solidFill>
                      </wps:spPr>
                      <wps:txbx>
                        <w:txbxContent>
                          <w:p>
                            <w:pPr>
                              <w:pStyle w:val="Style19"/>
                              <w:bidi w:val="0"/>
                              <w:spacing w:lineRule="auto" w:line="276" w:before="0" w:after="140"/>
                              <w:jc w:val="start"/>
                              <w:rPr/>
                            </w:pPr>
                            <w:r>
                              <w:rPr/>
                            </w:r>
                          </w:p>
                        </w:txbxContent>
                      </wps:txbx>
                      <wps:bodyPr anchor="t" lIns="0" tIns="0" rIns="0" bIns="0">
                        <a:noAutofit/>
                      </wps:bodyPr>
                    </wps:wsp>
                  </a:graphicData>
                </a:graphic>
              </wp:anchor>
            </w:drawing>
          </mc:Choice>
          <mc:Fallback>
            <w:pict>
              <v:rect fillcolor="#FFFFFF" style="position:absolute;rotation:-0;width:16.8pt;height:16.8pt;mso-wrap-distance-left:0pt;mso-wrap-distance-right:0pt;mso-wrap-distance-top:0pt;mso-wrap-distance-bottom:0pt;margin-top:8.4pt;mso-position-vertical-relative:text;margin-left:8.4pt;mso-position-horizontal-relative:text">
                <v:fill opacity="0f"/>
                <v:textbox inset="0in,0in,0in,0in">
                  <w:txbxContent>
                    <w:p>
                      <w:pPr>
                        <w:pStyle w:val="Style19"/>
                        <w:bidi w:val="0"/>
                        <w:spacing w:lineRule="auto" w:line="276" w:before="0" w:after="140"/>
                        <w:jc w:val="start"/>
                        <w:rPr/>
                      </w:pPr>
                      <w:r>
                        <w:rPr/>
                      </w:r>
                    </w:p>
                  </w:txbxContent>
                </v:textbox>
                <w10:wrap type="none"/>
              </v:rect>
            </w:pict>
          </mc:Fallback>
        </mc:AlternateContent>
      </w:r>
      <w:r>
        <mc:AlternateContent>
          <mc:Choice Requires="wps">
            <w:drawing>
              <wp:anchor behindDoc="0" distT="0" distB="0" distL="0" distR="0" simplePos="0" locked="0" layoutInCell="0" allowOverlap="1" relativeHeight="3">
                <wp:simplePos x="0" y="0"/>
                <wp:positionH relativeFrom="column">
                  <wp:posOffset>106680</wp:posOffset>
                </wp:positionH>
                <wp:positionV relativeFrom="paragraph">
                  <wp:posOffset>106680</wp:posOffset>
                </wp:positionV>
                <wp:extent cx="213360" cy="213360"/>
                <wp:effectExtent l="0" t="0" r="0" b="0"/>
                <wp:wrapNone/>
                <wp:docPr id="2" name="Врезка2"/>
                <a:graphic xmlns:a="http://schemas.openxmlformats.org/drawingml/2006/main">
                  <a:graphicData uri="http://schemas.microsoft.com/office/word/2010/wordprocessingShape">
                    <wps:wsp>
                      <wps:cNvSpPr txBox="1"/>
                      <wps:spPr>
                        <a:xfrm>
                          <a:off x="0" y="0"/>
                          <a:ext cx="213360" cy="213360"/>
                        </a:xfrm>
                        <a:prstGeom prst="rect"/>
                        <a:solidFill>
                          <a:srgbClr val="FFFFFF"/>
                        </a:solidFill>
                        <a:solidFill>
                          <a:srgbClr val="FFFFFF">
                            <a:alpha val="0"/>
                          </a:srgbClr>
                        </a:solidFill>
                      </wps:spPr>
                      <wps:txbx>
                        <w:txbxContent>
                          <w:p>
                            <w:pPr>
                              <w:pStyle w:val="Style19"/>
                              <w:bidi w:val="0"/>
                              <w:spacing w:lineRule="auto" w:line="276" w:before="0" w:after="140"/>
                              <w:jc w:val="start"/>
                              <w:rPr/>
                            </w:pPr>
                            <w:r>
                              <w:rPr/>
                            </w:r>
                          </w:p>
                        </w:txbxContent>
                      </wps:txbx>
                      <wps:bodyPr anchor="t" lIns="0" tIns="0" rIns="0" bIns="0">
                        <a:noAutofit/>
                      </wps:bodyPr>
                    </wps:wsp>
                  </a:graphicData>
                </a:graphic>
              </wp:anchor>
            </w:drawing>
          </mc:Choice>
          <mc:Fallback>
            <w:pict>
              <v:rect fillcolor="#FFFFFF" style="position:absolute;rotation:-0;width:16.8pt;height:16.8pt;mso-wrap-distance-left:0pt;mso-wrap-distance-right:0pt;mso-wrap-distance-top:0pt;mso-wrap-distance-bottom:0pt;margin-top:8.4pt;mso-position-vertical-relative:text;margin-left:8.4pt;mso-position-horizontal-relative:text">
                <v:fill opacity="0f"/>
                <v:textbox inset="0in,0in,0in,0in">
                  <w:txbxContent>
                    <w:p>
                      <w:pPr>
                        <w:pStyle w:val="Style19"/>
                        <w:bidi w:val="0"/>
                        <w:spacing w:lineRule="auto" w:line="276" w:before="0" w:after="140"/>
                        <w:jc w:val="start"/>
                        <w:rPr/>
                      </w:pPr>
                      <w:r>
                        <w:rPr/>
                      </w:r>
                    </w:p>
                  </w:txbxContent>
                </v:textbox>
                <w10:wrap type="none"/>
              </v:rect>
            </w:pict>
          </mc:Fallback>
        </mc:AlternateContent>
      </w:r>
      <w:r>
        <mc:AlternateContent>
          <mc:Choice Requires="wps">
            <w:drawing>
              <wp:anchor behindDoc="0" distT="0" distB="0" distL="0" distR="0" simplePos="0" locked="0" layoutInCell="0" allowOverlap="1" relativeHeight="4">
                <wp:simplePos x="0" y="0"/>
                <wp:positionH relativeFrom="column">
                  <wp:posOffset>106680</wp:posOffset>
                </wp:positionH>
                <wp:positionV relativeFrom="paragraph">
                  <wp:posOffset>106680</wp:posOffset>
                </wp:positionV>
                <wp:extent cx="213360" cy="213360"/>
                <wp:effectExtent l="0" t="0" r="0" b="0"/>
                <wp:wrapNone/>
                <wp:docPr id="3" name="Врезка3"/>
                <a:graphic xmlns:a="http://schemas.openxmlformats.org/drawingml/2006/main">
                  <a:graphicData uri="http://schemas.microsoft.com/office/word/2010/wordprocessingShape">
                    <wps:wsp>
                      <wps:cNvSpPr txBox="1"/>
                      <wps:spPr>
                        <a:xfrm>
                          <a:off x="0" y="0"/>
                          <a:ext cx="213360" cy="213360"/>
                        </a:xfrm>
                        <a:prstGeom prst="rect"/>
                        <a:solidFill>
                          <a:srgbClr val="FFFFFF"/>
                        </a:solidFill>
                        <a:solidFill>
                          <a:srgbClr val="FFFFFF">
                            <a:alpha val="0"/>
                          </a:srgbClr>
                        </a:solidFill>
                      </wps:spPr>
                      <wps:txbx>
                        <w:txbxContent>
                          <w:p>
                            <w:pPr>
                              <w:pStyle w:val="Style19"/>
                              <w:bidi w:val="0"/>
                              <w:spacing w:lineRule="auto" w:line="276" w:before="0" w:after="140"/>
                              <w:jc w:val="start"/>
                              <w:rPr/>
                            </w:pPr>
                            <w:r>
                              <w:rPr/>
                            </w:r>
                          </w:p>
                        </w:txbxContent>
                      </wps:txbx>
                      <wps:bodyPr anchor="t" lIns="0" tIns="0" rIns="0" bIns="0">
                        <a:noAutofit/>
                      </wps:bodyPr>
                    </wps:wsp>
                  </a:graphicData>
                </a:graphic>
              </wp:anchor>
            </w:drawing>
          </mc:Choice>
          <mc:Fallback>
            <w:pict>
              <v:rect fillcolor="#FFFFFF" style="position:absolute;rotation:-0;width:16.8pt;height:16.8pt;mso-wrap-distance-left:0pt;mso-wrap-distance-right:0pt;mso-wrap-distance-top:0pt;mso-wrap-distance-bottom:0pt;margin-top:8.4pt;mso-position-vertical-relative:text;margin-left:8.4pt;mso-position-horizontal-relative:text">
                <v:fill opacity="0f"/>
                <v:textbox inset="0in,0in,0in,0in">
                  <w:txbxContent>
                    <w:p>
                      <w:pPr>
                        <w:pStyle w:val="Style19"/>
                        <w:bidi w:val="0"/>
                        <w:spacing w:lineRule="auto" w:line="276" w:before="0" w:after="140"/>
                        <w:jc w:val="start"/>
                        <w:rPr/>
                      </w:pPr>
                      <w:r>
                        <w:rPr/>
                      </w:r>
                    </w:p>
                  </w:txbxContent>
                </v:textbox>
                <w10:wrap type="none"/>
              </v:rect>
            </w:pict>
          </mc:Fallback>
        </mc:AlternateContent>
      </w:r>
      <w:r>
        <mc:AlternateContent>
          <mc:Choice Requires="wps">
            <w:drawing>
              <wp:anchor behindDoc="0" distT="0" distB="0" distL="0" distR="0" simplePos="0" locked="0" layoutInCell="0" allowOverlap="1" relativeHeight="5">
                <wp:simplePos x="0" y="0"/>
                <wp:positionH relativeFrom="column">
                  <wp:posOffset>106680</wp:posOffset>
                </wp:positionH>
                <wp:positionV relativeFrom="paragraph">
                  <wp:posOffset>106680</wp:posOffset>
                </wp:positionV>
                <wp:extent cx="213360" cy="213360"/>
                <wp:effectExtent l="0" t="0" r="0" b="0"/>
                <wp:wrapNone/>
                <wp:docPr id="4" name="Врезка4"/>
                <a:graphic xmlns:a="http://schemas.openxmlformats.org/drawingml/2006/main">
                  <a:graphicData uri="http://schemas.microsoft.com/office/word/2010/wordprocessingShape">
                    <wps:wsp>
                      <wps:cNvSpPr txBox="1"/>
                      <wps:spPr>
                        <a:xfrm>
                          <a:off x="0" y="0"/>
                          <a:ext cx="213360" cy="213360"/>
                        </a:xfrm>
                        <a:prstGeom prst="rect"/>
                        <a:solidFill>
                          <a:srgbClr val="FFFFFF"/>
                        </a:solidFill>
                        <a:solidFill>
                          <a:srgbClr val="FFFFFF">
                            <a:alpha val="0"/>
                          </a:srgbClr>
                        </a:solidFill>
                      </wps:spPr>
                      <wps:txbx>
                        <w:txbxContent>
                          <w:p>
                            <w:pPr>
                              <w:pStyle w:val="Style19"/>
                              <w:bidi w:val="0"/>
                              <w:spacing w:lineRule="auto" w:line="276" w:before="0" w:after="140"/>
                              <w:jc w:val="start"/>
                              <w:rPr/>
                            </w:pPr>
                            <w:r>
                              <w:rPr/>
                            </w:r>
                          </w:p>
                        </w:txbxContent>
                      </wps:txbx>
                      <wps:bodyPr anchor="t" lIns="0" tIns="0" rIns="0" bIns="0">
                        <a:noAutofit/>
                      </wps:bodyPr>
                    </wps:wsp>
                  </a:graphicData>
                </a:graphic>
              </wp:anchor>
            </w:drawing>
          </mc:Choice>
          <mc:Fallback>
            <w:pict>
              <v:rect fillcolor="#FFFFFF" style="position:absolute;rotation:-0;width:16.8pt;height:16.8pt;mso-wrap-distance-left:0pt;mso-wrap-distance-right:0pt;mso-wrap-distance-top:0pt;mso-wrap-distance-bottom:0pt;margin-top:8.4pt;mso-position-vertical-relative:text;margin-left:8.4pt;mso-position-horizontal-relative:text">
                <v:fill opacity="0f"/>
                <v:textbox inset="0in,0in,0in,0in">
                  <w:txbxContent>
                    <w:p>
                      <w:pPr>
                        <w:pStyle w:val="Style19"/>
                        <w:bidi w:val="0"/>
                        <w:spacing w:lineRule="auto" w:line="276" w:before="0" w:after="140"/>
                        <w:jc w:val="start"/>
                        <w:rPr/>
                      </w:pPr>
                      <w:r>
                        <w:rPr/>
                      </w:r>
                    </w:p>
                  </w:txbxContent>
                </v:textbox>
                <w10:wrap type="none"/>
              </v:rect>
            </w:pict>
          </mc:Fallback>
        </mc:AlternateContent>
      </w:r>
      <w:r>
        <mc:AlternateContent>
          <mc:Choice Requires="wps">
            <w:drawing>
              <wp:anchor behindDoc="0" distT="0" distB="0" distL="0" distR="0" simplePos="0" locked="0" layoutInCell="0" allowOverlap="1" relativeHeight="6">
                <wp:simplePos x="0" y="0"/>
                <wp:positionH relativeFrom="column">
                  <wp:posOffset>106680</wp:posOffset>
                </wp:positionH>
                <wp:positionV relativeFrom="paragraph">
                  <wp:posOffset>106680</wp:posOffset>
                </wp:positionV>
                <wp:extent cx="213360" cy="213360"/>
                <wp:effectExtent l="0" t="0" r="0" b="0"/>
                <wp:wrapNone/>
                <wp:docPr id="5" name="Врезка5"/>
                <a:graphic xmlns:a="http://schemas.openxmlformats.org/drawingml/2006/main">
                  <a:graphicData uri="http://schemas.microsoft.com/office/word/2010/wordprocessingShape">
                    <wps:wsp>
                      <wps:cNvSpPr txBox="1"/>
                      <wps:spPr>
                        <a:xfrm>
                          <a:off x="0" y="0"/>
                          <a:ext cx="213360" cy="213360"/>
                        </a:xfrm>
                        <a:prstGeom prst="rect"/>
                        <a:solidFill>
                          <a:srgbClr val="FFFFFF"/>
                        </a:solidFill>
                        <a:solidFill>
                          <a:srgbClr val="FFFFFF">
                            <a:alpha val="0"/>
                          </a:srgbClr>
                        </a:solidFill>
                      </wps:spPr>
                      <wps:txbx>
                        <w:txbxContent>
                          <w:p>
                            <w:pPr>
                              <w:pStyle w:val="Style19"/>
                              <w:bidi w:val="0"/>
                              <w:spacing w:lineRule="auto" w:line="276" w:before="0" w:after="140"/>
                              <w:jc w:val="start"/>
                              <w:rPr/>
                            </w:pPr>
                            <w:r>
                              <w:rPr/>
                            </w:r>
                          </w:p>
                        </w:txbxContent>
                      </wps:txbx>
                      <wps:bodyPr anchor="t" lIns="0" tIns="0" rIns="0" bIns="0">
                        <a:noAutofit/>
                      </wps:bodyPr>
                    </wps:wsp>
                  </a:graphicData>
                </a:graphic>
              </wp:anchor>
            </w:drawing>
          </mc:Choice>
          <mc:Fallback>
            <w:pict>
              <v:rect fillcolor="#FFFFFF" style="position:absolute;rotation:-0;width:16.8pt;height:16.8pt;mso-wrap-distance-left:0pt;mso-wrap-distance-right:0pt;mso-wrap-distance-top:0pt;mso-wrap-distance-bottom:0pt;margin-top:8.4pt;mso-position-vertical-relative:text;margin-left:8.4pt;mso-position-horizontal-relative:text">
                <v:fill opacity="0f"/>
                <v:textbox inset="0in,0in,0in,0in">
                  <w:txbxContent>
                    <w:p>
                      <w:pPr>
                        <w:pStyle w:val="Style19"/>
                        <w:bidi w:val="0"/>
                        <w:spacing w:lineRule="auto" w:line="276" w:before="0" w:after="140"/>
                        <w:jc w:val="start"/>
                        <w:rPr/>
                      </w:pPr>
                      <w:r>
                        <w:rPr/>
                      </w:r>
                    </w:p>
                  </w:txbxContent>
                </v:textbox>
                <w10:wrap type="none"/>
              </v:rect>
            </w:pict>
          </mc:Fallback>
        </mc:AlternateContent>
      </w:r>
      <w:r>
        <mc:AlternateContent>
          <mc:Choice Requires="wps">
            <w:drawing>
              <wp:anchor behindDoc="0" distT="0" distB="0" distL="0" distR="0" simplePos="0" locked="0" layoutInCell="0" allowOverlap="1" relativeHeight="7">
                <wp:simplePos x="0" y="0"/>
                <wp:positionH relativeFrom="column">
                  <wp:posOffset>129540</wp:posOffset>
                </wp:positionH>
                <wp:positionV relativeFrom="paragraph">
                  <wp:posOffset>129540</wp:posOffset>
                </wp:positionV>
                <wp:extent cx="259080" cy="259080"/>
                <wp:effectExtent l="0" t="0" r="0" b="0"/>
                <wp:wrapNone/>
                <wp:docPr id="6" name="Врезка7"/>
                <a:graphic xmlns:a="http://schemas.openxmlformats.org/drawingml/2006/main">
                  <a:graphicData uri="http://schemas.microsoft.com/office/word/2010/wordprocessingShape">
                    <wps:wsp>
                      <wps:cNvSpPr txBox="1"/>
                      <wps:spPr>
                        <a:xfrm>
                          <a:off x="0" y="0"/>
                          <a:ext cx="259080" cy="259080"/>
                        </a:xfrm>
                        <a:prstGeom prst="rect"/>
                        <a:solidFill>
                          <a:srgbClr val="FFFFFF"/>
                        </a:solidFill>
                        <a:solidFill>
                          <a:srgbClr val="FFFFFF"/>
                        </a:solidFill>
                      </wps:spPr>
                      <wps:txbx>
                        <w:txbxContent>
                          <w:p>
                            <w:pPr>
                              <w:pStyle w:val="Style19"/>
                              <w:bidi w:val="0"/>
                              <w:spacing w:lineRule="auto" w:line="276" w:before="0" w:after="140"/>
                              <w:jc w:val="start"/>
                              <w:rPr/>
                            </w:pPr>
                            <w:r>
                              <w:rPr/>
                            </w:r>
                          </w:p>
                        </w:txbxContent>
                      </wps:txbx>
                      <wps:bodyPr anchor="t" lIns="0" tIns="0" rIns="0" bIns="0">
                        <a:noAutofit/>
                      </wps:bodyPr>
                    </wps:wsp>
                  </a:graphicData>
                </a:graphic>
              </wp:anchor>
            </w:drawing>
          </mc:Choice>
          <mc:Fallback>
            <w:pict>
              <v:rect fillcolor="#FFFFFF" style="position:absolute;rotation:-0;width:20.4pt;height:20.4pt;mso-wrap-distance-left:0pt;mso-wrap-distance-right:0pt;mso-wrap-distance-top:0pt;mso-wrap-distance-bottom:0pt;margin-top:10.2pt;mso-position-vertical-relative:text;margin-left:10.2pt;mso-position-horizontal-relative:text">
                <v:textbox inset="0in,0in,0in,0in">
                  <w:txbxContent>
                    <w:p>
                      <w:pPr>
                        <w:pStyle w:val="Style19"/>
                        <w:bidi w:val="0"/>
                        <w:spacing w:lineRule="auto" w:line="276" w:before="0" w:after="140"/>
                        <w:jc w:val="start"/>
                        <w:rPr/>
                      </w:pPr>
                      <w:r>
                        <w:rPr/>
                      </w:r>
                    </w:p>
                  </w:txbxContent>
                </v:textbox>
                <w10:wrap type="none"/>
              </v:rect>
            </w:pict>
          </mc:Fallback>
        </mc:AlternateContent>
      </w:r>
    </w:p>
    <w:p>
      <w:pPr>
        <w:pStyle w:val="Style19"/>
        <w:widowControl/>
        <w:bidi w:val="0"/>
        <w:spacing w:before="192" w:after="192"/>
        <w:ind w:start="0" w:end="0" w:hanging="0"/>
        <w:jc w:val="start"/>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This course provides a comprehensive overview of the principles and practices of industrial biotechnology manufacturing. The primary goal is to produce high-value biological products (like therapeutic proteins, vaccines, or enzymes) consistently, safely, and cost-effectively. The manufacturing process is broadly divided into two main segments: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Upstream Processing (USP)</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and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Downstream Processing (DSP)</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w:t>
      </w:r>
    </w:p>
    <w:p>
      <w:pPr>
        <w:pStyle w:val="Style19"/>
        <w:widowControl/>
        <w:numPr>
          <w:ilvl w:val="0"/>
          <w:numId w:val="1"/>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Upstream Processing (USP):</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This involves the actual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bioproduction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of the target molecule. It begins with a vial of a genetically engineered cell line (e.g., mammalian CHO cells, microbial </w:t>
      </w:r>
      <w:r>
        <w:rPr>
          <w:rStyle w:val="Style17"/>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E. coli</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yeast) and includes cell expansion in increasingly larger vessels, culminating in production within a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bioreactor</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Key USP considerations are providing optimal conditions (pH, temperature, oxygen, nutrients) for cells to grow and produce the desired product.</w:t>
      </w:r>
    </w:p>
    <w:p>
      <w:pPr>
        <w:pStyle w:val="Style19"/>
        <w:widowControl/>
        <w:numPr>
          <w:ilvl w:val="0"/>
          <w:numId w:val="1"/>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Downstream Processing (DSP):</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This encompasses all steps required to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recover, purify, and formulate</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product from the complex bioreactor harvest. DSP is often more complex and expensive than USP, involving multiple unit operations like centrifugation, filtration, chromatography, and viral inactivation to achieve the required purity (&gt;99.99% for therapeutics).</w:t>
      </w:r>
    </w:p>
    <w:p>
      <w:pPr>
        <w:pStyle w:val="Style19"/>
        <w:widowControl/>
        <w:numPr>
          <w:ilvl w:val="0"/>
          <w:numId w:val="1"/>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Core Principles: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entire process is governed by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cGMP (current Good Manufacturing Practices)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to ensure product quality, safety, and efficacy. Key concepts include scalability (from lab to factory), process robustness, and the central dogma of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the process defines the product</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meaning any change in the manufacturing process can alter the product's characteristics.</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2. Bioreactor Configurations</w:t>
      </w:r>
    </w:p>
    <w:p>
      <w:pPr>
        <w:pStyle w:val="Style19"/>
        <w:widowControl/>
        <w:bidi w:val="0"/>
        <w:spacing w:before="192" w:after="192"/>
        <w:ind w:start="0" w:end="0" w:hanging="0"/>
        <w:jc w:val="start"/>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Bioreactors are the core vessels where biological conversion occurs. They are classified based on how nutrients and cells are managed.</w:t>
      </w:r>
    </w:p>
    <w:p>
      <w:pPr>
        <w:pStyle w:val="Style19"/>
        <w:widowControl/>
        <w:numPr>
          <w:ilvl w:val="0"/>
          <w:numId w:val="2"/>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Batch Reactor:</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All nutrients are added at the start. The culture progresses until nutrients are depleted or inhibitors accumulate. Simple but low productivity.</w:t>
      </w:r>
    </w:p>
    <w:p>
      <w:pPr>
        <w:pStyle w:val="Style19"/>
        <w:widowControl/>
        <w:numPr>
          <w:ilvl w:val="0"/>
          <w:numId w:val="2"/>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Fed-Batch Reactor:</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most common configuration for industrial protein production. A basal medium is added initially, and key nutrients (like glucose) are fed incrementally during the run. This extends the production phase, controls metabolic by-products, and achieves very high cell densities and product titers.</w:t>
      </w:r>
    </w:p>
    <w:p>
      <w:pPr>
        <w:pStyle w:val="Style19"/>
        <w:widowControl/>
        <w:numPr>
          <w:ilvl w:val="0"/>
          <w:numId w:val="2"/>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Continuous Reactor (Chemostat):</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Fresh medium is continuously added, and spent culture (containing cells and product) is continuously harvested at the same rate. It maintains steady-state conditions, offering constant productivity but posing challenges for sterility and genetic stability over long periods.</w:t>
      </w:r>
    </w:p>
    <w:p>
      <w:pPr>
        <w:pStyle w:val="Style19"/>
        <w:widowControl/>
        <w:numPr>
          <w:ilvl w:val="0"/>
          <w:numId w:val="2"/>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Perfusion Reactor:</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 type of continuous culture where cells are physically retained in the reactor (using filters or settlers). Fresh medium is perfused through, and cell-free product harvest is continuously removed. This allows for extremely high cell densities and is ideal for fragile cells or unstable products.</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3. Bioreactor Design Features</w:t>
      </w:r>
    </w:p>
    <w:p>
      <w:pPr>
        <w:pStyle w:val="Style19"/>
        <w:widowControl/>
        <w:bidi w:val="0"/>
        <w:spacing w:before="192" w:after="192"/>
        <w:ind w:start="0" w:end="0" w:hanging="0"/>
        <w:jc w:val="start"/>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Modern bioreactors are complex, sterile, and highly instrumented systems designed to maintain precise control over the culture environment.</w:t>
      </w:r>
    </w:p>
    <w:p>
      <w:pPr>
        <w:pStyle w:val="Style19"/>
        <w:widowControl/>
        <w:numPr>
          <w:ilvl w:val="0"/>
          <w:numId w:val="3"/>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Vessel &amp; Agitation: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Made of stainless steel or glass. Agitation is provided by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impellers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(e.g., Rushton turbines, marine propellers) to mix nutrients, disperse gases, and maintain homogeneous conditions.</w:t>
      </w:r>
    </w:p>
    <w:p>
      <w:pPr>
        <w:pStyle w:val="Style19"/>
        <w:widowControl/>
        <w:numPr>
          <w:ilvl w:val="0"/>
          <w:numId w:val="3"/>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Aeration &amp; Gas Transfer:</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Critical for supplying oxygen to cells. Achieved by sparging sterile air or oxygen through a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sparger</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(ring or tube with fine holes). The key parameter is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kLa</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(volumetric mass transfer coefficient), which defines the rate of oxygen transfer from gas bubbles to the liquid.</w:t>
      </w:r>
    </w:p>
    <w:p>
      <w:pPr>
        <w:pStyle w:val="Style19"/>
        <w:widowControl/>
        <w:numPr>
          <w:ilvl w:val="0"/>
          <w:numId w:val="3"/>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Sensors and Control Loops: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Bioreactors are equipped with sensors for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pH, dissolved oxygen (DO), and temperature</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Each is controlled by automated feedback loops (e.g., adding CO₂/base to control pH, increasing agitation/sparge to control DO, using a heating jacket/cooling coil for temperature).</w:t>
      </w:r>
    </w:p>
    <w:p>
      <w:pPr>
        <w:pStyle w:val="Style19"/>
        <w:widowControl/>
        <w:numPr>
          <w:ilvl w:val="0"/>
          <w:numId w:val="3"/>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Sterility:</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All designs prioritize sterility via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sterile filters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on gas and liquid lines, steam-in-place (SIP) procedures, and aseptic seals.</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4. Lyophilization: Growing with Biotechnology</w:t>
      </w:r>
    </w:p>
    <w:p>
      <w:pPr>
        <w:pStyle w:val="Style19"/>
        <w:widowControl/>
        <w:bidi w:val="0"/>
        <w:spacing w:before="192" w:after="192"/>
        <w:ind w:start="0" w:end="0" w:hanging="0"/>
        <w:jc w:val="start"/>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Lyophilization, or freeze-drying, is a critical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formulation and preservation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step for many biotech products (e.g., vaccines, proteins, diagnostics) that are unstable in liquid solution.</w:t>
      </w:r>
    </w:p>
    <w:p>
      <w:pPr>
        <w:pStyle w:val="Style19"/>
        <w:widowControl/>
        <w:numPr>
          <w:ilvl w:val="0"/>
          <w:numId w:val="4"/>
        </w:numPr>
        <w:pBdr/>
        <w:tabs>
          <w:tab w:val="clear" w:pos="709"/>
          <w:tab w:val="left" w:pos="0" w:leader="none"/>
        </w:tabs>
        <w:bidi w:val="0"/>
        <w:spacing w:before="0" w:after="96"/>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Process: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It involves three stages:</w:t>
      </w:r>
    </w:p>
    <w:p>
      <w:pPr>
        <w:pStyle w:val="Style19"/>
        <w:widowControl/>
        <w:numPr>
          <w:ilvl w:val="1"/>
          <w:numId w:val="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Freezing:</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product solution is frozen solid.</w:t>
      </w:r>
    </w:p>
    <w:p>
      <w:pPr>
        <w:pStyle w:val="Style19"/>
        <w:widowControl/>
        <w:numPr>
          <w:ilvl w:val="1"/>
          <w:numId w:val="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Primary Drying (Sublimation):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Pressure is reduced, and heat is applied. Ice sublimates directly from solid to vapor, removing most of the water.</w:t>
      </w:r>
    </w:p>
    <w:p>
      <w:pPr>
        <w:pStyle w:val="Style19"/>
        <w:widowControl/>
        <w:numPr>
          <w:ilvl w:val="1"/>
          <w:numId w:val="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Secondary Drying (Desorption):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Further heating removes bound water molecules from the product matrix.</w:t>
      </w:r>
    </w:p>
    <w:p>
      <w:pPr>
        <w:pStyle w:val="Style19"/>
        <w:widowControl/>
        <w:numPr>
          <w:ilvl w:val="0"/>
          <w:numId w:val="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Importance for Biotech:</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Prevents chemical degradation (hydrolysis) and microbial growth, allowing for long-term storage at refrigerated or even ambient temperatures. This extends shelf-life, eliminates cold-chain logistics challenges, and provides a stable, solid dosage form.</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5. Shear Effects in Culture</w:t>
      </w:r>
    </w:p>
    <w:p>
      <w:pPr>
        <w:pStyle w:val="Style19"/>
        <w:widowControl/>
        <w:bidi w:val="0"/>
        <w:spacing w:before="192" w:after="192"/>
        <w:ind w:start="0" w:end="0" w:hanging="0"/>
        <w:jc w:val="start"/>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Shear stress refers to mechanical forces acting on cells due to fluid movement. It can damage cells, reducing viability and productivity.</w:t>
      </w:r>
    </w:p>
    <w:p>
      <w:pPr>
        <w:pStyle w:val="Style19"/>
        <w:widowControl/>
        <w:numPr>
          <w:ilvl w:val="0"/>
          <w:numId w:val="5"/>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Sources: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Primarily from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impeller agitation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(especially near the tip) and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gas bubble bursting</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at the liquid surface. Smaller bubbles (from sparging) create higher surface tension forces upon rupture.</w:t>
      </w:r>
    </w:p>
    <w:p>
      <w:pPr>
        <w:pStyle w:val="Style19"/>
        <w:widowControl/>
        <w:numPr>
          <w:ilvl w:val="0"/>
          <w:numId w:val="5"/>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Impact:</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Shear can cause cell lysis, disrupt metabolism, or alter protein expression.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Mammalian and insect cells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are more sensitive than robust microbial cells (bacteria, yeast).</w:t>
      </w:r>
    </w:p>
    <w:p>
      <w:pPr>
        <w:pStyle w:val="Style19"/>
        <w:widowControl/>
        <w:numPr>
          <w:ilvl w:val="0"/>
          <w:numId w:val="5"/>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Mitigation: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Strategies include using low-shear impellers (e.g., pitched-blade), adding protective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shear-protectant agents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like Pluronic F-68, optimizing aeration to minimize bubble coalescence and bursting, and using perfusion systems with gentle cell separation.</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6. Energy Input in Bioreactors</w:t>
      </w:r>
    </w:p>
    <w:p>
      <w:pPr>
        <w:pStyle w:val="Style19"/>
        <w:widowControl/>
        <w:bidi w:val="0"/>
        <w:spacing w:before="192" w:after="192"/>
        <w:ind w:start="0" w:end="0" w:hanging="0"/>
        <w:jc w:val="start"/>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Energy is input into a bioreactor primarily via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agitation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(impeller power, P) and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aeration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(gas sparging). This energy drives mixing, mass transfer, and heat transfer.</w:t>
      </w:r>
    </w:p>
    <w:p>
      <w:pPr>
        <w:pStyle w:val="Style19"/>
        <w:widowControl/>
        <w:numPr>
          <w:ilvl w:val="0"/>
          <w:numId w:val="6"/>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Power Input (P/V):</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power per unit volume is a key scale-up parameter. It influences mixing time, shear stress, and gas bubble dispersion. Higher P/V increases kLa but also increases shear.</w:t>
      </w:r>
    </w:p>
    <w:p>
      <w:pPr>
        <w:pStyle w:val="Style19"/>
        <w:widowControl/>
        <w:numPr>
          <w:ilvl w:val="0"/>
          <w:numId w:val="6"/>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Scale-Up Challenge:</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 major difficulty is maintaining constant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shear conditions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and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mass transfer (kLa)</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when scaling up. While P/V might be kept constant, tip speed (a major source of shear) increases with larger impeller diameter. Engineers often must compromise, scaling based on constant kLa, which typically requires higher P/V at large scale.</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7. Downstream Processing Aspects</w:t>
      </w:r>
    </w:p>
    <w:p>
      <w:pPr>
        <w:pStyle w:val="Style19"/>
        <w:widowControl/>
        <w:bidi w:val="0"/>
        <w:spacing w:before="192" w:after="192"/>
        <w:ind w:start="0" w:end="0" w:hanging="0"/>
        <w:jc w:val="start"/>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DSP is the sequence of operations to isolate and purify the target product from the bioreactor harvest. It is often described as a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"purification train."</w:t>
      </w:r>
    </w:p>
    <w:p>
      <w:pPr>
        <w:pStyle w:val="Style19"/>
        <w:widowControl/>
        <w:numPr>
          <w:ilvl w:val="0"/>
          <w:numId w:val="7"/>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Key Objectives: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Achieve high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recovery yield</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and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product purity</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while removing contaminants like host cell proteins (HCP), DNA, viruses, and endotoxins.</w:t>
      </w:r>
    </w:p>
    <w:p>
      <w:pPr>
        <w:pStyle w:val="Style19"/>
        <w:widowControl/>
        <w:numPr>
          <w:ilvl w:val="0"/>
          <w:numId w:val="7"/>
        </w:numPr>
        <w:pBdr/>
        <w:tabs>
          <w:tab w:val="clear" w:pos="709"/>
          <w:tab w:val="left" w:pos="0" w:leader="none"/>
        </w:tabs>
        <w:bidi w:val="0"/>
        <w:spacing w:before="0" w:after="96"/>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Typical Sequence:</w:t>
      </w:r>
    </w:p>
    <w:p>
      <w:pPr>
        <w:pStyle w:val="Style19"/>
        <w:widowControl/>
        <w:numPr>
          <w:ilvl w:val="1"/>
          <w:numId w:val="7"/>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Harvest &amp; Clarification: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Separate cells from the product-containing broth (centrifugation, depth filtration).</w:t>
      </w:r>
    </w:p>
    <w:p>
      <w:pPr>
        <w:pStyle w:val="Style19"/>
        <w:widowControl/>
        <w:numPr>
          <w:ilvl w:val="1"/>
          <w:numId w:val="7"/>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Capture:</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Initial purification, often using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Protein A chromatography</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for antibodies, to concentrate the product and remove bulk impurities.</w:t>
      </w:r>
    </w:p>
    <w:p>
      <w:pPr>
        <w:pStyle w:val="Style19"/>
        <w:widowControl/>
        <w:numPr>
          <w:ilvl w:val="1"/>
          <w:numId w:val="7"/>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Intermediate Purification: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Remove major contaminants (e.g., ion-exchange chromatography).</w:t>
      </w:r>
    </w:p>
    <w:p>
      <w:pPr>
        <w:pStyle w:val="Style19"/>
        <w:widowControl/>
        <w:numPr>
          <w:ilvl w:val="1"/>
          <w:numId w:val="7"/>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Polishing:</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Remove trace impurities and product variants (e.g., size-exclusion chromatography).</w:t>
      </w:r>
    </w:p>
    <w:p>
      <w:pPr>
        <w:pStyle w:val="Style19"/>
        <w:widowControl/>
        <w:numPr>
          <w:ilvl w:val="1"/>
          <w:numId w:val="7"/>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Viral Clearance:</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Inactivation (low pH, solvent/detergent) and removal (nanofiltration) steps for mammalian cell products.</w:t>
      </w:r>
    </w:p>
    <w:p>
      <w:pPr>
        <w:pStyle w:val="Style19"/>
        <w:widowControl/>
        <w:numPr>
          <w:ilvl w:val="1"/>
          <w:numId w:val="7"/>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Formulation &amp; Fill-Finish:</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Prepare the final drug substance (buffer exchange, concentration) and fill into vials/syringes.</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8. Characteristics of Cells in Culture</w:t>
      </w:r>
    </w:p>
    <w:p>
      <w:pPr>
        <w:pStyle w:val="Style19"/>
        <w:widowControl/>
        <w:bidi w:val="0"/>
        <w:spacing w:before="192" w:after="192"/>
        <w:ind w:start="0" w:end="0" w:hanging="0"/>
        <w:jc w:val="start"/>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Different host cell systems have distinct characteristics that dictate process design.</w:t>
      </w:r>
    </w:p>
    <w:p>
      <w:pPr>
        <w:pStyle w:val="Style19"/>
        <w:widowControl/>
        <w:numPr>
          <w:ilvl w:val="0"/>
          <w:numId w:val="8"/>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Microbial (E. coli):</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Grow rapidly to high densities, simple media, high product yield. But they are prokaryotes—they cannot perform complex post-translational modifications (like glycosylation) and often produce product as insoluble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inclusion bodies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inside the cell, requiring complex recovery.</w:t>
      </w:r>
    </w:p>
    <w:p>
      <w:pPr>
        <w:pStyle w:val="Style19"/>
        <w:widowControl/>
        <w:numPr>
          <w:ilvl w:val="0"/>
          <w:numId w:val="8"/>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Mammalian (CHO, HEK293):</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Can produce complex, properly folded and glycosylated proteins. Essential for most therapeutic antibodies. However, they grow slowly, require complex media, are susceptible to shear and contamination, and have lower yields, making processes very expensive.</w:t>
      </w:r>
    </w:p>
    <w:p>
      <w:pPr>
        <w:pStyle w:val="Style19"/>
        <w:widowControl/>
        <w:numPr>
          <w:ilvl w:val="0"/>
          <w:numId w:val="8"/>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Yeast (P. pastoris):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 compromise—eukaryotic, so capable of some modifications, robust like microbes, and can secrete product. Glycosylation pattern differs from humans.</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9. Cell Lysis</w:t>
      </w:r>
    </w:p>
    <w:p>
      <w:pPr>
        <w:pStyle w:val="Style19"/>
        <w:widowControl/>
        <w:bidi w:val="0"/>
        <w:spacing w:before="192" w:after="192"/>
        <w:ind w:start="0" w:end="0" w:hanging="0"/>
        <w:jc w:val="start"/>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The first DSP step for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intracellular products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(e.g., proteins produced in </w:t>
      </w:r>
      <w:r>
        <w:rPr>
          <w:rStyle w:val="Style17"/>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E. coli</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inclusion bodies). The goal is to break open the cells to release the product while minimizing its degradation.</w:t>
      </w:r>
    </w:p>
    <w:p>
      <w:pPr>
        <w:pStyle w:val="Style19"/>
        <w:widowControl/>
        <w:numPr>
          <w:ilvl w:val="0"/>
          <w:numId w:val="9"/>
        </w:numPr>
        <w:pBdr/>
        <w:tabs>
          <w:tab w:val="clear" w:pos="709"/>
          <w:tab w:val="left" w:pos="0" w:leader="none"/>
        </w:tabs>
        <w:bidi w:val="0"/>
        <w:spacing w:before="0" w:after="96"/>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Methods:</w:t>
      </w:r>
    </w:p>
    <w:p>
      <w:pPr>
        <w:pStyle w:val="Style19"/>
        <w:widowControl/>
        <w:numPr>
          <w:ilvl w:val="1"/>
          <w:numId w:val="9"/>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Mechanical:</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High-pressure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homogenization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(forcing cells through a narrow valve) or bead milling. Highly effective but generates heat and shear.</w:t>
      </w:r>
    </w:p>
    <w:p>
      <w:pPr>
        <w:pStyle w:val="Style19"/>
        <w:widowControl/>
        <w:numPr>
          <w:ilvl w:val="1"/>
          <w:numId w:val="9"/>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Non-Mechanical:</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Chemical (detergents, alkalis), enzymatic (lysozyme), or physical (osmotic shock, freeze-thaw). Gentler but slower, less scalable, and adds impurities.</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10. Fractionation</w:t>
      </w:r>
    </w:p>
    <w:p>
      <w:pPr>
        <w:pStyle w:val="Style19"/>
        <w:widowControl/>
        <w:bidi w:val="0"/>
        <w:spacing w:before="192" w:after="192"/>
        <w:ind w:start="0" w:end="0" w:hanging="0"/>
        <w:jc w:val="start"/>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An initial separation step that divides the complex lysate or harvest into fractions based on a broad property, before fine purification by chromatography.</w:t>
      </w:r>
    </w:p>
    <w:p>
      <w:pPr>
        <w:pStyle w:val="Style19"/>
        <w:widowControl/>
        <w:numPr>
          <w:ilvl w:val="0"/>
          <w:numId w:val="10"/>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Purpose:</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Remove bulk impurities, concentrate the product, and prepare the sample for subsequent steps.</w:t>
      </w:r>
    </w:p>
    <w:p>
      <w:pPr>
        <w:pStyle w:val="Style19"/>
        <w:widowControl/>
        <w:numPr>
          <w:ilvl w:val="0"/>
          <w:numId w:val="10"/>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Common Techniques: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Includes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precipitation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(using salts, solvents, or polymers to selectively precipitate the product or impurities),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aqueous two-phase extraction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and initial coarse filtration or centrifugation.</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11. Centrifugation</w:t>
      </w:r>
    </w:p>
    <w:p>
      <w:pPr>
        <w:pStyle w:val="Style19"/>
        <w:widowControl/>
        <w:bidi w:val="0"/>
        <w:spacing w:before="192" w:after="192"/>
        <w:ind w:start="0" w:end="0" w:hanging="0"/>
        <w:jc w:val="start"/>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A fundamental solid-liquid separation technique using centrifugal force to separate particles based on size, shape, and density.</w:t>
      </w:r>
    </w:p>
    <w:p>
      <w:pPr>
        <w:pStyle w:val="Style19"/>
        <w:widowControl/>
        <w:numPr>
          <w:ilvl w:val="0"/>
          <w:numId w:val="11"/>
        </w:numPr>
        <w:pBdr/>
        <w:tabs>
          <w:tab w:val="clear" w:pos="709"/>
          <w:tab w:val="left" w:pos="0" w:leader="none"/>
        </w:tabs>
        <w:bidi w:val="0"/>
        <w:spacing w:before="0" w:after="96"/>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In Biotech:</w:t>
      </w:r>
    </w:p>
    <w:p>
      <w:pPr>
        <w:pStyle w:val="Style19"/>
        <w:widowControl/>
        <w:numPr>
          <w:ilvl w:val="1"/>
          <w:numId w:val="11"/>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Cell Harvest:</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Separating cells from culture broth (using disc-stack centrifuges).</w:t>
      </w:r>
    </w:p>
    <w:p>
      <w:pPr>
        <w:pStyle w:val="Style19"/>
        <w:widowControl/>
        <w:numPr>
          <w:ilvl w:val="1"/>
          <w:numId w:val="11"/>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Clarification: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Removing cell debris after lysis.</w:t>
      </w:r>
    </w:p>
    <w:p>
      <w:pPr>
        <w:pStyle w:val="Style19"/>
        <w:widowControl/>
        <w:numPr>
          <w:ilvl w:val="1"/>
          <w:numId w:val="11"/>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Density Gradient Centrifugation: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For separating biomolecules or organelles in R&amp;D.</w:t>
      </w:r>
    </w:p>
    <w:p>
      <w:pPr>
        <w:pStyle w:val="Style19"/>
        <w:widowControl/>
        <w:numPr>
          <w:ilvl w:val="0"/>
          <w:numId w:val="11"/>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Principles: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separation efficiency is described by the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Sigma factor (Σ)</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which represents the equivalent settling area of a centrifuge. Scale-up is based on constant Σ or Q/Σ (flow rate / Sigma).</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12. Homogenization</w:t>
      </w:r>
    </w:p>
    <w:p>
      <w:pPr>
        <w:pStyle w:val="Style19"/>
        <w:widowControl/>
        <w:bidi w:val="0"/>
        <w:spacing w:before="192" w:after="192"/>
        <w:ind w:start="0" w:end="0" w:hanging="0"/>
        <w:jc w:val="start"/>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A specific, widely used mechanical method for cell disruption, especially for bacterial and yeast cells.</w:t>
      </w:r>
    </w:p>
    <w:p>
      <w:pPr>
        <w:pStyle w:val="Style19"/>
        <w:widowControl/>
        <w:numPr>
          <w:ilvl w:val="0"/>
          <w:numId w:val="12"/>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Process: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cell suspension is pumped at high pressure (500-1500 bar) through a restrictive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homogenizer valve</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sudden pressure drop and impact on the valve seat cause cell rupture.</w:t>
      </w:r>
    </w:p>
    <w:p>
      <w:pPr>
        <w:pStyle w:val="Style19"/>
        <w:widowControl/>
        <w:numPr>
          <w:ilvl w:val="0"/>
          <w:numId w:val="12"/>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Mechanism:</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 combination of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shear stress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cavitation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(formation and collapse of bubbles), and impingement.</w:t>
      </w:r>
    </w:p>
    <w:p>
      <w:pPr>
        <w:pStyle w:val="Style19"/>
        <w:widowControl/>
        <w:numPr>
          <w:ilvl w:val="0"/>
          <w:numId w:val="12"/>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Operation: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Often performed in multiple passes for higher disruption efficiency. Key parameters are operating pressure and number of passes.</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13. Refolding of Inclusion Bodies</w:t>
      </w:r>
    </w:p>
    <w:p>
      <w:pPr>
        <w:pStyle w:val="Style19"/>
        <w:widowControl/>
        <w:bidi w:val="0"/>
        <w:spacing w:before="192" w:after="192"/>
        <w:ind w:start="0" w:end="0" w:hanging="0"/>
        <w:jc w:val="start"/>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Proteins expressed in </w:t>
      </w:r>
      <w:r>
        <w:rPr>
          <w:rStyle w:val="Style17"/>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E. coli</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often form insoluble, inactive aggregates called inclusion bodies (IBs). Recovery requires:</w:t>
      </w:r>
    </w:p>
    <w:p>
      <w:pPr>
        <w:pStyle w:val="Style19"/>
        <w:widowControl/>
        <w:numPr>
          <w:ilvl w:val="0"/>
          <w:numId w:val="13"/>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Isolation: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Centrifuge the lysate to pellet IBs.</w:t>
      </w:r>
    </w:p>
    <w:p>
      <w:pPr>
        <w:pStyle w:val="Style19"/>
        <w:widowControl/>
        <w:numPr>
          <w:ilvl w:val="0"/>
          <w:numId w:val="13"/>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Washing:</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Remove membrane and other impurities from the IB pellet with detergent buffers.</w:t>
      </w:r>
    </w:p>
    <w:p>
      <w:pPr>
        <w:pStyle w:val="Style19"/>
        <w:widowControl/>
        <w:numPr>
          <w:ilvl w:val="0"/>
          <w:numId w:val="13"/>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Solubilization: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Dissolve IBs using strong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denaturants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(e.g., 6-8 M Urea, 6 M Guanidine HCl) and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reducing agents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(DTT) to break disulfide bonds.</w:t>
      </w:r>
    </w:p>
    <w:p>
      <w:pPr>
        <w:pStyle w:val="Style19"/>
        <w:widowControl/>
        <w:numPr>
          <w:ilvl w:val="0"/>
          <w:numId w:val="13"/>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Refolding:</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critical step. The denatured protein is slowly returned to its native, active conformation. Done by diluting or dialyzing away denaturants under controlled conditions (pH, redox pair like GSH/GSSG for disulfide formation, low protein concentration to minimize aggregation).</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14. Solubilization and Refolding of Proteins</w:t>
      </w:r>
    </w:p>
    <w:p>
      <w:pPr>
        <w:pStyle w:val="Style19"/>
        <w:widowControl/>
        <w:bidi w:val="0"/>
        <w:spacing w:before="192" w:after="192"/>
        <w:ind w:start="0" w:end="0" w:hanging="0"/>
        <w:jc w:val="start"/>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This topic expands on L13, detailing the science of protein folding.</w:t>
      </w:r>
    </w:p>
    <w:p>
      <w:pPr>
        <w:pStyle w:val="Style19"/>
        <w:widowControl/>
        <w:numPr>
          <w:ilvl w:val="0"/>
          <w:numId w:val="1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Solubilization: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Aims to fully denature and dissolve aggregated protein into individual polypeptide chains. Choice of denaturant and reducing agent is critical.</w:t>
      </w:r>
    </w:p>
    <w:p>
      <w:pPr>
        <w:pStyle w:val="Style19"/>
        <w:widowControl/>
        <w:numPr>
          <w:ilvl w:val="0"/>
          <w:numId w:val="14"/>
        </w:numPr>
        <w:pBdr/>
        <w:tabs>
          <w:tab w:val="clear" w:pos="709"/>
          <w:tab w:val="left" w:pos="0" w:leader="none"/>
        </w:tabs>
        <w:bidi w:val="0"/>
        <w:spacing w:before="0" w:after="96"/>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Refolding Strategies:</w:t>
      </w:r>
    </w:p>
    <w:p>
      <w:pPr>
        <w:pStyle w:val="Style19"/>
        <w:widowControl/>
        <w:numPr>
          <w:ilvl w:val="1"/>
          <w:numId w:val="1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Dilution: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Simple but large volume increase.</w:t>
      </w:r>
    </w:p>
    <w:p>
      <w:pPr>
        <w:pStyle w:val="Style19"/>
        <w:widowControl/>
        <w:numPr>
          <w:ilvl w:val="1"/>
          <w:numId w:val="1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Dialysis/Ultrafiltration: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Slow removal of denaturants.</w:t>
      </w:r>
    </w:p>
    <w:p>
      <w:pPr>
        <w:pStyle w:val="Style19"/>
        <w:widowControl/>
        <w:numPr>
          <w:ilvl w:val="1"/>
          <w:numId w:val="1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On-Column Refolding:</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Refolding while bound to a chromatography resin.</w:t>
      </w:r>
    </w:p>
    <w:p>
      <w:pPr>
        <w:pStyle w:val="Style19"/>
        <w:widowControl/>
        <w:numPr>
          <w:ilvl w:val="1"/>
          <w:numId w:val="1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Additives: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Use of arginine, glycerol, or polyethylene glycol to suppress aggregation and improve refolding yield.</w:t>
      </w:r>
    </w:p>
    <w:p>
      <w:pPr>
        <w:pStyle w:val="Style19"/>
        <w:widowControl/>
        <w:numPr>
          <w:ilvl w:val="0"/>
          <w:numId w:val="14"/>
        </w:numPr>
        <w:pBdr/>
        <w:tabs>
          <w:tab w:val="clear" w:pos="709"/>
          <w:tab w:val="left" w:pos="0" w:leader="none"/>
        </w:tabs>
        <w:bidi w:val="0"/>
        <w:spacing w:before="0" w:after="0"/>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Challenge:</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The process is often inefficient (&lt;30% yield) due to competition between correct folding and irreversible aggregation.</w:t>
      </w:r>
    </w:p>
    <w:p>
      <w:pPr>
        <w:pStyle w:val="Style23"/>
        <w:bidi w:val="0"/>
        <w:jc w:val="start"/>
        <w:rPr/>
      </w:pPr>
      <w:r>
        <w:rPr/>
      </w:r>
    </w:p>
    <w:p>
      <w:pPr>
        <w:pStyle w:val="Style19"/>
        <w:widowControl/>
        <w:bidi w:val="0"/>
        <w:spacing w:before="192" w:after="192"/>
        <w:ind w:start="0" w:end="0" w:hanging="0"/>
        <w:jc w:val="start"/>
        <w:rPr/>
      </w:pP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 15. Report on Lectures</w:t>
      </w:r>
    </w:p>
    <w:p>
      <w:pPr>
        <w:pStyle w:val="Style19"/>
        <w:widowControl/>
        <w:bidi w:val="0"/>
        <w:spacing w:before="192" w:after="0"/>
        <w:ind w:start="0" w:end="0" w:hanging="0"/>
        <w:jc w:val="start"/>
        <w:rPr/>
      </w:pP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This course has provided a systematic framework for understanding biopharmaceutical manufacturing. The journey begins with selecting a suitable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host cell system</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(L8) and cultivating it under controlled conditions in a designed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bioreactor</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(L2, L3, L6), while managing physical stresses like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shear</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(L5). Following upstream production, the complex task of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Downstream Processing</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(L7) commences. For intracellular products, this involves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cell lysis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(L9, L12) and initial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fractionation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(L10), often aided by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centrifugation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(L11). A unique challenge for microbial systems is recovering active protein from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inclusion bodies</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via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solubilization and refolding</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(L13, L14). Finally, the purified product may be stabilized via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lyophilization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(L4) for storage. All steps are integrated under the foundational principles of </w:t>
      </w:r>
      <w:r>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color w:val="0F1115"/>
          <w:spacing w:val="0"/>
          <w:sz w:val="19"/>
        </w:rPr>
        <w:t>cGMP and scalable process design</w:t>
      </w:r>
      <w:r>
        <w:rPr>
          <w:rFonts w:ascii="quote-cjk-patch;Inter;system-ui;apple-system;BlinkMacSystemFont;Segoe UI;Roboto;Oxygen;Ubuntu;Cantarell;Open Sans;Helvetica Neue;sans-serif" w:hAnsi="quote-cjk-patch;Inter;system-ui;apple-system;BlinkMacSystemFont;Segoe UI;Roboto;Oxygen;Ubuntu;Cantarell;Open Sans;Helvetica Neue;sans-serif"/>
          <w:b w:val="false"/>
          <w:i w:val="false"/>
          <w:caps w:val="false"/>
          <w:smallCaps w:val="false"/>
          <w:color w:val="0F1115"/>
          <w:spacing w:val="0"/>
          <w:sz w:val="19"/>
        </w:rPr>
        <w:t> introduced in L1. The course highlights the interdisciplinary nature of biotech, combining biology, engineering, and chemistry to transform a living cell into a safe and effective medicine.</w:t>
      </w:r>
    </w:p>
    <w:p>
      <w:pPr>
        <w:pStyle w:val="Style19"/>
        <w:bidi w:val="0"/>
        <w:spacing w:before="0" w:after="140"/>
        <w:jc w:val="start"/>
        <w:rPr>
          <w:rStyle w:val="Style13"/>
          <w:rFonts w:ascii="quote-cjk-patch;Inter;system-ui;apple-system;BlinkMacSystemFont;Segoe UI;Roboto;Oxygen;Ubuntu;Cantarell;Open Sans;Helvetica Neue;sans-serif" w:hAnsi="quote-cjk-patch;Inter;system-ui;apple-system;BlinkMacSystemFont;Segoe UI;Roboto;Oxygen;Ubuntu;Cantarell;Open Sans;Helvetica Neue;sans-serif"/>
          <w:b/>
          <w:i w:val="false"/>
          <w:caps w:val="false"/>
          <w:smallCaps w:val="false"/>
          <w:sz w:val="24"/>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02"/>
    <w:family w:val="auto"/>
    <w:pitch w:val="default"/>
  </w:font>
  <w:font w:name="Liberation Mono">
    <w:altName w:val="Courier New"/>
    <w:charset w:val="cc" w:characterSet="windows-1251"/>
    <w:family w:val="modern"/>
    <w:pitch w:val="fixed"/>
  </w:font>
  <w:font w:name="Liberation Sans">
    <w:altName w:val="Arial"/>
    <w:charset w:val="cc" w:characterSet="windows-1251"/>
    <w:family w:val="swiss"/>
    <w:pitch w:val="variable"/>
  </w:font>
  <w:font w:name="quote-cjk-patch">
    <w:altName w:val="Inter"/>
    <w:charset w:val="cc" w:characterSet="windows-125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suff w:val="nothing"/>
      <w:lvlText w:val=""/>
      <w:lvlJc w:val="start"/>
      <w:pPr>
        <w:tabs>
          <w:tab w:val="num" w:pos="0"/>
        </w:tabs>
        <w:ind w:start="0" w:hanging="0"/>
      </w:pPr>
      <w:rPr>
        <w:rFonts w:ascii="Symbol" w:hAnsi="Symbol" w:cs="Symbol" w:hint="default"/>
      </w:rPr>
    </w:lvl>
    <w:lvl w:ilvl="1">
      <w:start w:val="1"/>
      <w:numFmt w:val="decimal"/>
      <w:suff w:val="nothing"/>
      <w:lvlText w:val="%2."/>
      <w:lvlJc w:val="start"/>
      <w:pPr>
        <w:tabs>
          <w:tab w:val="num" w:pos="0"/>
        </w:tabs>
        <w:ind w:start="0" w:hanging="0"/>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5">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suff w:val="nothing"/>
      <w:lvlText w:val=""/>
      <w:lvlJc w:val="start"/>
      <w:pPr>
        <w:tabs>
          <w:tab w:val="num" w:pos="0"/>
        </w:tabs>
        <w:ind w:start="0" w:hanging="0"/>
      </w:pPr>
      <w:rPr>
        <w:rFonts w:ascii="Symbol" w:hAnsi="Symbol" w:cs="Symbol" w:hint="default"/>
      </w:rPr>
    </w:lvl>
    <w:lvl w:ilvl="1">
      <w:start w:val="1"/>
      <w:numFmt w:val="decimal"/>
      <w:suff w:val="nothing"/>
      <w:lvlText w:val="%2."/>
      <w:lvlJc w:val="start"/>
      <w:pPr>
        <w:tabs>
          <w:tab w:val="num" w:pos="0"/>
        </w:tabs>
        <w:ind w:start="0" w:hanging="0"/>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8">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
      <w:lvlJc w:val="start"/>
      <w:pPr>
        <w:tabs>
          <w:tab w:val="num" w:pos="0"/>
        </w:tabs>
        <w:ind w:start="0" w:hanging="0"/>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
      <w:lvlJc w:val="start"/>
      <w:pPr>
        <w:tabs>
          <w:tab w:val="num" w:pos="0"/>
        </w:tabs>
        <w:ind w:start="0" w:hanging="0"/>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4">
    <w:lvl w:ilvl="0">
      <w:start w:val="1"/>
      <w:numFmt w:val="bullet"/>
      <w:suff w:val="nothing"/>
      <w:lvlText w:val=""/>
      <w:lvlJc w:val="start"/>
      <w:pPr>
        <w:tabs>
          <w:tab w:val="num" w:pos="0"/>
        </w:tabs>
        <w:ind w:start="0" w:hanging="0"/>
      </w:pPr>
      <w:rPr>
        <w:rFonts w:ascii="Symbol" w:hAnsi="Symbol" w:cs="Symbol" w:hint="default"/>
      </w:rPr>
    </w:lvl>
    <w:lvl w:ilvl="1">
      <w:start w:val="1"/>
      <w:numFmt w:val="bullet"/>
      <w:suff w:val="nothing"/>
      <w:lvlText w:val=""/>
      <w:lvlJc w:val="start"/>
      <w:pPr>
        <w:tabs>
          <w:tab w:val="num" w:pos="0"/>
        </w:tabs>
        <w:ind w:start="0" w:hanging="0"/>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kern w:val="2"/>
      <w:sz w:val="24"/>
      <w:szCs w:val="24"/>
      <w:lang w:val="en-US" w:eastAsia="zh-CN" w:bidi="hi-IN"/>
    </w:rPr>
  </w:style>
  <w:style w:type="paragraph" w:styleId="3">
    <w:name w:val="Heading 3"/>
    <w:basedOn w:val="Style18"/>
    <w:next w:val="Style19"/>
    <w:qFormat/>
    <w:pPr>
      <w:spacing w:before="140" w:after="120"/>
      <w:outlineLvl w:val="2"/>
    </w:pPr>
    <w:rPr>
      <w:rFonts w:ascii="Liberation Serif" w:hAnsi="Liberation Serif" w:eastAsia="NSimSun" w:cs="Lucida Sans"/>
      <w:b/>
      <w:bCs/>
      <w:sz w:val="28"/>
      <w:szCs w:val="28"/>
    </w:rPr>
  </w:style>
  <w:style w:type="character" w:styleId="Style13">
    <w:name w:val="Выделение жирным"/>
    <w:qFormat/>
    <w:rPr>
      <w:b/>
      <w:bCs/>
    </w:rPr>
  </w:style>
  <w:style w:type="character" w:styleId="Style14">
    <w:name w:val="Маркеры"/>
    <w:qFormat/>
    <w:rPr>
      <w:rFonts w:ascii="OpenSymbol" w:hAnsi="OpenSymbol" w:eastAsia="OpenSymbol" w:cs="OpenSymbol"/>
    </w:rPr>
  </w:style>
  <w:style w:type="character" w:styleId="Style15">
    <w:name w:val="Исходный текст"/>
    <w:qFormat/>
    <w:rPr>
      <w:rFonts w:ascii="Liberation Mono" w:hAnsi="Liberation Mono" w:eastAsia="NSimSun" w:cs="Liberation Mono"/>
    </w:rPr>
  </w:style>
  <w:style w:type="character" w:styleId="Style16">
    <w:name w:val="Символ нумерации"/>
    <w:qFormat/>
    <w:rPr/>
  </w:style>
  <w:style w:type="character" w:styleId="Style17">
    <w:name w:val="Выделение"/>
    <w:qFormat/>
    <w:rPr>
      <w:i/>
      <w:iCs/>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lang w:val="zxx" w:eastAsia="zxx" w:bidi="zxx"/>
    </w:rPr>
  </w:style>
  <w:style w:type="paragraph" w:styleId="Style23">
    <w:name w:val="Горизонтальная линия"/>
    <w:basedOn w:val="Normal"/>
    <w:next w:val="Style19"/>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LibreOffice/7.3.2.2$Windows_X86_64 LibreOffice_project/49f2b1bff42cfccbd8f788c8dc32c1c309559be0</Application>
  <AppVersion>15.0000</AppVersion>
  <Pages>5</Pages>
  <Words>1848</Words>
  <Characters>11275</Characters>
  <CharactersWithSpaces>12977</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2026-01-19T18:23:56Z</dcterms:modified>
  <cp:revision>1</cp:revision>
  <dc:subject/>
  <dc:title/>
</cp:coreProperties>
</file>